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D35A" w14:textId="5844400D" w:rsidR="00E5787C" w:rsidRDefault="00E830F5" w:rsidP="00E5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Georgia" w:hAnsi="Georgia" w:cs="Georgia"/>
          <w:b/>
          <w:bCs/>
          <w:color w:val="990033"/>
          <w:spacing w:val="6"/>
          <w:kern w:val="1"/>
          <w:sz w:val="32"/>
          <w:szCs w:val="32"/>
        </w:rPr>
      </w:pPr>
      <w:r>
        <w:rPr>
          <w:rFonts w:ascii="Georgia" w:hAnsi="Georgia" w:cs="Georgia"/>
          <w:b/>
          <w:bCs/>
          <w:color w:val="990033"/>
          <w:spacing w:val="6"/>
          <w:kern w:val="1"/>
          <w:sz w:val="32"/>
          <w:szCs w:val="32"/>
        </w:rPr>
        <w:t>Making Metaphors Meaningful</w:t>
      </w:r>
      <w:r w:rsidR="001749AC">
        <w:rPr>
          <w:rFonts w:ascii="Georgia" w:hAnsi="Georgia" w:cs="Georgia"/>
          <w:b/>
          <w:bCs/>
          <w:color w:val="990033"/>
          <w:spacing w:val="6"/>
          <w:kern w:val="1"/>
          <w:sz w:val="32"/>
          <w:szCs w:val="32"/>
        </w:rPr>
        <w:t xml:space="preserve"> [Resource</w:t>
      </w:r>
      <w:r>
        <w:rPr>
          <w:rFonts w:ascii="Georgia" w:hAnsi="Georgia" w:cs="Georgia"/>
          <w:b/>
          <w:bCs/>
          <w:color w:val="990033"/>
          <w:spacing w:val="6"/>
          <w:kern w:val="1"/>
          <w:sz w:val="32"/>
          <w:szCs w:val="32"/>
        </w:rPr>
        <w:t xml:space="preserve"> 1</w:t>
      </w:r>
      <w:r w:rsidR="00E5787C" w:rsidRPr="0080677B">
        <w:rPr>
          <w:rFonts w:ascii="Georgia" w:hAnsi="Georgia" w:cs="Georgia"/>
          <w:b/>
          <w:bCs/>
          <w:color w:val="990033"/>
          <w:spacing w:val="6"/>
          <w:kern w:val="1"/>
          <w:sz w:val="32"/>
          <w:szCs w:val="32"/>
        </w:rPr>
        <w:t>]</w:t>
      </w:r>
    </w:p>
    <w:p w14:paraId="4DB44130" w14:textId="77777777" w:rsidR="00E830F5" w:rsidRPr="00E830F5" w:rsidRDefault="00E830F5" w:rsidP="00E830F5">
      <w:pPr>
        <w:widowControl w:val="0"/>
        <w:autoSpaceDE w:val="0"/>
        <w:autoSpaceDN w:val="0"/>
        <w:adjustRightInd w:val="0"/>
        <w:spacing w:after="240"/>
        <w:rPr>
          <w:rFonts w:ascii="Times" w:hAnsi="Times" w:cs="Times"/>
          <w:sz w:val="28"/>
          <w:szCs w:val="28"/>
        </w:rPr>
      </w:pPr>
      <w:r w:rsidRPr="00E830F5">
        <w:rPr>
          <w:rFonts w:cs="Calibri"/>
          <w:sz w:val="28"/>
          <w:szCs w:val="28"/>
        </w:rPr>
        <w:t>Metaphors assist us to consider and reflect upon our understandings (</w:t>
      </w:r>
      <w:proofErr w:type="spellStart"/>
      <w:r w:rsidRPr="00E830F5">
        <w:rPr>
          <w:rFonts w:cs="Calibri"/>
          <w:sz w:val="28"/>
          <w:szCs w:val="28"/>
        </w:rPr>
        <w:t>theorising</w:t>
      </w:r>
      <w:proofErr w:type="spellEnd"/>
      <w:r w:rsidRPr="00E830F5">
        <w:rPr>
          <w:rFonts w:cs="Calibri"/>
          <w:sz w:val="28"/>
          <w:szCs w:val="28"/>
        </w:rPr>
        <w:t xml:space="preserve">) and subsequent actions (practice). We have incorporated into this module some </w:t>
      </w:r>
      <w:proofErr w:type="spellStart"/>
      <w:r w:rsidRPr="00E830F5">
        <w:rPr>
          <w:rFonts w:cs="Calibri"/>
          <w:sz w:val="28"/>
          <w:szCs w:val="28"/>
        </w:rPr>
        <w:t>Māori</w:t>
      </w:r>
      <w:proofErr w:type="spellEnd"/>
      <w:r w:rsidRPr="00E830F5">
        <w:rPr>
          <w:rFonts w:cs="Calibri"/>
          <w:sz w:val="28"/>
          <w:szCs w:val="28"/>
        </w:rPr>
        <w:t xml:space="preserve"> metaphors to provide a framework for you to consider how you work in partnership and collaborate with your </w:t>
      </w:r>
      <w:proofErr w:type="spellStart"/>
      <w:r w:rsidRPr="00E830F5">
        <w:rPr>
          <w:rFonts w:cs="Calibri"/>
          <w:sz w:val="28"/>
          <w:szCs w:val="28"/>
        </w:rPr>
        <w:t>Māori</w:t>
      </w:r>
      <w:proofErr w:type="spellEnd"/>
      <w:r w:rsidRPr="00E830F5">
        <w:rPr>
          <w:rFonts w:cs="Calibri"/>
          <w:sz w:val="28"/>
          <w:szCs w:val="28"/>
        </w:rPr>
        <w:t xml:space="preserve"> </w:t>
      </w:r>
      <w:proofErr w:type="spellStart"/>
      <w:r w:rsidRPr="00E830F5">
        <w:rPr>
          <w:rFonts w:cs="Calibri"/>
          <w:sz w:val="28"/>
          <w:szCs w:val="28"/>
        </w:rPr>
        <w:t>whānau</w:t>
      </w:r>
      <w:proofErr w:type="spellEnd"/>
      <w:r w:rsidRPr="00E830F5">
        <w:rPr>
          <w:rFonts w:cs="Calibri"/>
          <w:sz w:val="28"/>
          <w:szCs w:val="28"/>
        </w:rPr>
        <w:t xml:space="preserve"> and community.</w:t>
      </w:r>
    </w:p>
    <w:p w14:paraId="1735B5B1" w14:textId="77777777" w:rsidR="00E830F5" w:rsidRPr="00E830F5" w:rsidRDefault="00E830F5" w:rsidP="00E830F5">
      <w:pPr>
        <w:widowControl w:val="0"/>
        <w:autoSpaceDE w:val="0"/>
        <w:autoSpaceDN w:val="0"/>
        <w:adjustRightInd w:val="0"/>
        <w:spacing w:after="240"/>
        <w:rPr>
          <w:rFonts w:ascii="Times" w:hAnsi="Times" w:cs="Times"/>
          <w:sz w:val="28"/>
          <w:szCs w:val="28"/>
        </w:rPr>
      </w:pPr>
      <w:r w:rsidRPr="00E830F5">
        <w:rPr>
          <w:rFonts w:cs="Calibri"/>
          <w:sz w:val="28"/>
          <w:szCs w:val="28"/>
        </w:rPr>
        <w:t>We explain each of these metaphors briefly below however, members of your staff are probably well able to provide examples and more detail.</w:t>
      </w:r>
    </w:p>
    <w:p w14:paraId="02880652" w14:textId="77777777" w:rsidR="00E830F5" w:rsidRPr="00E830F5" w:rsidRDefault="00E830F5" w:rsidP="00E830F5">
      <w:pPr>
        <w:widowControl w:val="0"/>
        <w:autoSpaceDE w:val="0"/>
        <w:autoSpaceDN w:val="0"/>
        <w:adjustRightInd w:val="0"/>
        <w:spacing w:after="240"/>
        <w:rPr>
          <w:rFonts w:ascii="Times" w:hAnsi="Times" w:cs="Times"/>
          <w:sz w:val="28"/>
          <w:szCs w:val="28"/>
        </w:rPr>
      </w:pPr>
      <w:r w:rsidRPr="00E830F5">
        <w:rPr>
          <w:rFonts w:cs="Calibri"/>
          <w:sz w:val="28"/>
          <w:szCs w:val="28"/>
        </w:rPr>
        <w:t>What do you understand by these metaphors?</w:t>
      </w:r>
    </w:p>
    <w:p w14:paraId="3767220D" w14:textId="77777777" w:rsidR="00E830F5" w:rsidRPr="00B01ABC" w:rsidRDefault="00E830F5" w:rsidP="00E830F5">
      <w:pPr>
        <w:widowControl w:val="0"/>
        <w:autoSpaceDE w:val="0"/>
        <w:autoSpaceDN w:val="0"/>
        <w:adjustRightInd w:val="0"/>
        <w:spacing w:after="240"/>
        <w:rPr>
          <w:rFonts w:ascii="Times" w:hAnsi="Times" w:cs="Times"/>
          <w:color w:val="8E0000"/>
          <w:sz w:val="28"/>
          <w:szCs w:val="28"/>
        </w:rPr>
      </w:pPr>
      <w:r w:rsidRPr="00B01ABC">
        <w:rPr>
          <w:rFonts w:cs="Calibri"/>
          <w:b/>
          <w:bCs/>
          <w:color w:val="8E0000"/>
          <w:sz w:val="28"/>
          <w:szCs w:val="28"/>
        </w:rPr>
        <w:t xml:space="preserve">Taonga </w:t>
      </w:r>
      <w:proofErr w:type="spellStart"/>
      <w:r w:rsidRPr="00B01ABC">
        <w:rPr>
          <w:rFonts w:cs="Calibri"/>
          <w:b/>
          <w:bCs/>
          <w:color w:val="8E0000"/>
          <w:sz w:val="28"/>
          <w:szCs w:val="28"/>
        </w:rPr>
        <w:t>Tuku</w:t>
      </w:r>
      <w:proofErr w:type="spellEnd"/>
      <w:r w:rsidRPr="00B01ABC">
        <w:rPr>
          <w:rFonts w:cs="Calibri"/>
          <w:b/>
          <w:bCs/>
          <w:color w:val="8E0000"/>
          <w:sz w:val="28"/>
          <w:szCs w:val="28"/>
        </w:rPr>
        <w:t xml:space="preserve"> </w:t>
      </w:r>
      <w:proofErr w:type="spellStart"/>
      <w:r w:rsidRPr="00B01ABC">
        <w:rPr>
          <w:rFonts w:cs="Calibri"/>
          <w:b/>
          <w:bCs/>
          <w:color w:val="8E0000"/>
          <w:sz w:val="28"/>
          <w:szCs w:val="28"/>
        </w:rPr>
        <w:t>Iho</w:t>
      </w:r>
      <w:proofErr w:type="spellEnd"/>
    </w:p>
    <w:p w14:paraId="0A92114A" w14:textId="77777777" w:rsidR="00E830F5" w:rsidRPr="00E830F5" w:rsidRDefault="00E830F5" w:rsidP="00E830F5">
      <w:pPr>
        <w:widowControl w:val="0"/>
        <w:autoSpaceDE w:val="0"/>
        <w:autoSpaceDN w:val="0"/>
        <w:adjustRightInd w:val="0"/>
        <w:spacing w:after="240"/>
        <w:rPr>
          <w:rFonts w:ascii="Times" w:hAnsi="Times" w:cs="Times"/>
          <w:sz w:val="28"/>
          <w:szCs w:val="28"/>
        </w:rPr>
      </w:pPr>
      <w:r w:rsidRPr="00E830F5">
        <w:rPr>
          <w:rFonts w:cs="Calibri"/>
          <w:sz w:val="28"/>
          <w:szCs w:val="28"/>
        </w:rPr>
        <w:t xml:space="preserve">From a </w:t>
      </w:r>
      <w:proofErr w:type="spellStart"/>
      <w:r w:rsidRPr="00E830F5">
        <w:rPr>
          <w:rFonts w:cs="Calibri"/>
          <w:sz w:val="28"/>
          <w:szCs w:val="28"/>
        </w:rPr>
        <w:t>Māori</w:t>
      </w:r>
      <w:proofErr w:type="spellEnd"/>
      <w:r w:rsidRPr="00E830F5">
        <w:rPr>
          <w:rFonts w:cs="Calibri"/>
          <w:sz w:val="28"/>
          <w:szCs w:val="28"/>
        </w:rPr>
        <w:t xml:space="preserve"> worldview, </w:t>
      </w:r>
      <w:proofErr w:type="spellStart"/>
      <w:r w:rsidRPr="00E830F5">
        <w:rPr>
          <w:rFonts w:cs="Calibri"/>
          <w:sz w:val="28"/>
          <w:szCs w:val="28"/>
        </w:rPr>
        <w:t>taonga</w:t>
      </w:r>
      <w:proofErr w:type="spellEnd"/>
      <w:r w:rsidRPr="00E830F5">
        <w:rPr>
          <w:rFonts w:cs="Calibri"/>
          <w:sz w:val="28"/>
          <w:szCs w:val="28"/>
        </w:rPr>
        <w:t xml:space="preserve"> </w:t>
      </w:r>
      <w:proofErr w:type="spellStart"/>
      <w:r w:rsidRPr="00E830F5">
        <w:rPr>
          <w:rFonts w:cs="Calibri"/>
          <w:sz w:val="28"/>
          <w:szCs w:val="28"/>
        </w:rPr>
        <w:t>tuku</w:t>
      </w:r>
      <w:proofErr w:type="spellEnd"/>
      <w:r w:rsidRPr="00E830F5">
        <w:rPr>
          <w:rFonts w:cs="Calibri"/>
          <w:sz w:val="28"/>
          <w:szCs w:val="28"/>
        </w:rPr>
        <w:t xml:space="preserve"> </w:t>
      </w:r>
      <w:proofErr w:type="spellStart"/>
      <w:r w:rsidRPr="00E830F5">
        <w:rPr>
          <w:rFonts w:cs="Calibri"/>
          <w:sz w:val="28"/>
          <w:szCs w:val="28"/>
        </w:rPr>
        <w:t>iho</w:t>
      </w:r>
      <w:proofErr w:type="spellEnd"/>
      <w:r w:rsidRPr="00E830F5">
        <w:rPr>
          <w:rFonts w:cs="Calibri"/>
          <w:sz w:val="28"/>
          <w:szCs w:val="28"/>
        </w:rPr>
        <w:t xml:space="preserve"> literally mean the collective treasures of our ancestors. In a metaphoric sense they refer to the accumulated knowledge and cultural aspirations </w:t>
      </w:r>
      <w:proofErr w:type="spellStart"/>
      <w:r w:rsidRPr="00E830F5">
        <w:rPr>
          <w:rFonts w:cs="Calibri"/>
          <w:sz w:val="28"/>
          <w:szCs w:val="28"/>
        </w:rPr>
        <w:t>Māori</w:t>
      </w:r>
      <w:proofErr w:type="spellEnd"/>
      <w:r w:rsidRPr="00E830F5">
        <w:rPr>
          <w:rFonts w:cs="Calibri"/>
          <w:sz w:val="28"/>
          <w:szCs w:val="28"/>
        </w:rPr>
        <w:t xml:space="preserve"> have for themselves and for their future generations (Smith, 1997). Within these treasures or aspirations are the very </w:t>
      </w:r>
      <w:proofErr w:type="spellStart"/>
      <w:r w:rsidRPr="00E830F5">
        <w:rPr>
          <w:rFonts w:cs="Calibri"/>
          <w:sz w:val="28"/>
          <w:szCs w:val="28"/>
        </w:rPr>
        <w:t>kawa</w:t>
      </w:r>
      <w:proofErr w:type="spellEnd"/>
      <w:r w:rsidRPr="00E830F5">
        <w:rPr>
          <w:rFonts w:cs="Calibri"/>
          <w:sz w:val="28"/>
          <w:szCs w:val="28"/>
        </w:rPr>
        <w:t xml:space="preserve"> or epistemologically-based principles and pre-determined patterns of relationships and interactions that have both guided the way we do things and monitored the actions of </w:t>
      </w:r>
      <w:proofErr w:type="spellStart"/>
      <w:r w:rsidRPr="00E830F5">
        <w:rPr>
          <w:rFonts w:cs="Calibri"/>
          <w:sz w:val="28"/>
          <w:szCs w:val="28"/>
        </w:rPr>
        <w:t>research-whānau</w:t>
      </w:r>
      <w:proofErr w:type="spellEnd"/>
      <w:r w:rsidRPr="00E830F5">
        <w:rPr>
          <w:rFonts w:cs="Calibri"/>
          <w:sz w:val="28"/>
          <w:szCs w:val="28"/>
        </w:rPr>
        <w:t xml:space="preserve"> members. Within </w:t>
      </w:r>
      <w:proofErr w:type="spellStart"/>
      <w:r w:rsidRPr="00E830F5">
        <w:rPr>
          <w:rFonts w:cs="Calibri"/>
          <w:sz w:val="28"/>
          <w:szCs w:val="28"/>
        </w:rPr>
        <w:t>taonga</w:t>
      </w:r>
      <w:proofErr w:type="spellEnd"/>
      <w:r w:rsidRPr="00E830F5">
        <w:rPr>
          <w:rFonts w:cs="Calibri"/>
          <w:sz w:val="28"/>
          <w:szCs w:val="28"/>
        </w:rPr>
        <w:t xml:space="preserve"> </w:t>
      </w:r>
      <w:proofErr w:type="spellStart"/>
      <w:r w:rsidRPr="00E830F5">
        <w:rPr>
          <w:rFonts w:cs="Calibri"/>
          <w:sz w:val="28"/>
          <w:szCs w:val="28"/>
        </w:rPr>
        <w:t>tuku</w:t>
      </w:r>
      <w:proofErr w:type="spellEnd"/>
      <w:r w:rsidRPr="00E830F5">
        <w:rPr>
          <w:rFonts w:cs="Calibri"/>
          <w:sz w:val="28"/>
          <w:szCs w:val="28"/>
        </w:rPr>
        <w:t xml:space="preserve"> </w:t>
      </w:r>
      <w:proofErr w:type="spellStart"/>
      <w:r w:rsidRPr="00E830F5">
        <w:rPr>
          <w:rFonts w:cs="Calibri"/>
          <w:sz w:val="28"/>
          <w:szCs w:val="28"/>
        </w:rPr>
        <w:t>iho</w:t>
      </w:r>
      <w:proofErr w:type="spellEnd"/>
      <w:r w:rsidRPr="00E830F5">
        <w:rPr>
          <w:rFonts w:cs="Calibri"/>
          <w:sz w:val="28"/>
          <w:szCs w:val="28"/>
        </w:rPr>
        <w:t xml:space="preserve">, </w:t>
      </w:r>
      <w:proofErr w:type="spellStart"/>
      <w:r w:rsidRPr="00E830F5">
        <w:rPr>
          <w:rFonts w:cs="Calibri"/>
          <w:sz w:val="28"/>
          <w:szCs w:val="28"/>
        </w:rPr>
        <w:t>Māori</w:t>
      </w:r>
      <w:proofErr w:type="spellEnd"/>
      <w:r w:rsidRPr="00E830F5">
        <w:rPr>
          <w:rFonts w:cs="Calibri"/>
          <w:sz w:val="28"/>
          <w:szCs w:val="28"/>
        </w:rPr>
        <w:t xml:space="preserve"> knowledge, language, culture, indeed </w:t>
      </w:r>
      <w:proofErr w:type="spellStart"/>
      <w:r w:rsidRPr="00E830F5">
        <w:rPr>
          <w:rFonts w:cs="Calibri"/>
          <w:sz w:val="28"/>
          <w:szCs w:val="28"/>
        </w:rPr>
        <w:t>Māori</w:t>
      </w:r>
      <w:proofErr w:type="spellEnd"/>
      <w:r w:rsidRPr="00E830F5">
        <w:rPr>
          <w:rFonts w:cs="Calibri"/>
          <w:sz w:val="28"/>
          <w:szCs w:val="28"/>
        </w:rPr>
        <w:t xml:space="preserve"> ways of knowing and doing are valid, legitimate and normal (Bishop et al., 2007). The six metaphors important to this activity are listed and briefly described below.</w:t>
      </w:r>
    </w:p>
    <w:p w14:paraId="20ADEFB8" w14:textId="77777777" w:rsidR="00E830F5" w:rsidRPr="00041C2C" w:rsidRDefault="00E830F5" w:rsidP="00E830F5">
      <w:pPr>
        <w:widowControl w:val="0"/>
        <w:autoSpaceDE w:val="0"/>
        <w:autoSpaceDN w:val="0"/>
        <w:adjustRightInd w:val="0"/>
        <w:spacing w:after="240"/>
        <w:rPr>
          <w:rFonts w:ascii="Times" w:hAnsi="Times" w:cs="Times"/>
          <w:color w:val="8E0000"/>
          <w:sz w:val="28"/>
          <w:szCs w:val="28"/>
        </w:rPr>
      </w:pPr>
      <w:r w:rsidRPr="00041C2C">
        <w:rPr>
          <w:rFonts w:cs="Calibri"/>
          <w:b/>
          <w:bCs/>
          <w:color w:val="8E0000"/>
          <w:sz w:val="28"/>
          <w:szCs w:val="28"/>
        </w:rPr>
        <w:t>Mana whenua</w:t>
      </w:r>
    </w:p>
    <w:p w14:paraId="4BD22349" w14:textId="77777777" w:rsidR="00E830F5" w:rsidRPr="00E830F5" w:rsidRDefault="00E830F5" w:rsidP="00E830F5">
      <w:pPr>
        <w:widowControl w:val="0"/>
        <w:autoSpaceDE w:val="0"/>
        <w:autoSpaceDN w:val="0"/>
        <w:adjustRightInd w:val="0"/>
        <w:spacing w:after="240"/>
        <w:rPr>
          <w:rFonts w:ascii="Times" w:hAnsi="Times" w:cs="Times"/>
          <w:sz w:val="28"/>
          <w:szCs w:val="28"/>
        </w:rPr>
      </w:pPr>
      <w:r w:rsidRPr="00E830F5">
        <w:rPr>
          <w:rFonts w:cs="Calibri"/>
          <w:sz w:val="28"/>
          <w:szCs w:val="28"/>
        </w:rPr>
        <w:t xml:space="preserve">From one iwi to the next, the </w:t>
      </w:r>
      <w:proofErr w:type="spellStart"/>
      <w:r w:rsidRPr="00E830F5">
        <w:rPr>
          <w:rFonts w:cs="Calibri"/>
          <w:sz w:val="28"/>
          <w:szCs w:val="28"/>
        </w:rPr>
        <w:t>mana</w:t>
      </w:r>
      <w:proofErr w:type="spellEnd"/>
      <w:r w:rsidRPr="00E830F5">
        <w:rPr>
          <w:rFonts w:cs="Calibri"/>
          <w:sz w:val="28"/>
          <w:szCs w:val="28"/>
        </w:rPr>
        <w:t xml:space="preserve"> whenua are recognised as guardians of the land. From a </w:t>
      </w:r>
      <w:proofErr w:type="spellStart"/>
      <w:r w:rsidRPr="00E830F5">
        <w:rPr>
          <w:rFonts w:cs="Calibri"/>
          <w:sz w:val="28"/>
          <w:szCs w:val="28"/>
        </w:rPr>
        <w:t>Māori</w:t>
      </w:r>
      <w:proofErr w:type="spellEnd"/>
      <w:r w:rsidRPr="00E830F5">
        <w:rPr>
          <w:rFonts w:cs="Calibri"/>
          <w:sz w:val="28"/>
          <w:szCs w:val="28"/>
        </w:rPr>
        <w:t xml:space="preserve"> perspective their worldly power and prestige as guardians and holders of the land, must continue to be acknowledged and respected. When this happens, the active participation and commitment of the </w:t>
      </w:r>
      <w:proofErr w:type="spellStart"/>
      <w:r w:rsidRPr="00E830F5">
        <w:rPr>
          <w:rFonts w:cs="Calibri"/>
          <w:sz w:val="28"/>
          <w:szCs w:val="28"/>
        </w:rPr>
        <w:t>mana</w:t>
      </w:r>
      <w:proofErr w:type="spellEnd"/>
      <w:r w:rsidRPr="00E830F5">
        <w:rPr>
          <w:rFonts w:cs="Calibri"/>
          <w:sz w:val="28"/>
          <w:szCs w:val="28"/>
        </w:rPr>
        <w:t xml:space="preserve"> whenua or local people, to different groups occupying these lands, can develop a reciprocal relationship of support and strength.</w:t>
      </w:r>
    </w:p>
    <w:p w14:paraId="57A07F42" w14:textId="77777777" w:rsidR="00E830F5" w:rsidRPr="00041C2C" w:rsidRDefault="00E830F5" w:rsidP="00E830F5">
      <w:pPr>
        <w:widowControl w:val="0"/>
        <w:autoSpaceDE w:val="0"/>
        <w:autoSpaceDN w:val="0"/>
        <w:adjustRightInd w:val="0"/>
        <w:spacing w:after="240"/>
        <w:rPr>
          <w:rFonts w:ascii="Times" w:hAnsi="Times" w:cs="Times"/>
          <w:color w:val="8E0000"/>
          <w:sz w:val="28"/>
          <w:szCs w:val="28"/>
        </w:rPr>
      </w:pPr>
      <w:proofErr w:type="spellStart"/>
      <w:r w:rsidRPr="00041C2C">
        <w:rPr>
          <w:rFonts w:cs="Calibri"/>
          <w:b/>
          <w:bCs/>
          <w:color w:val="8E0000"/>
          <w:sz w:val="28"/>
          <w:szCs w:val="28"/>
        </w:rPr>
        <w:t>Kanohi</w:t>
      </w:r>
      <w:proofErr w:type="spellEnd"/>
      <w:r w:rsidRPr="00041C2C">
        <w:rPr>
          <w:rFonts w:cs="Calibri"/>
          <w:b/>
          <w:bCs/>
          <w:color w:val="8E0000"/>
          <w:sz w:val="28"/>
          <w:szCs w:val="28"/>
        </w:rPr>
        <w:t xml:space="preserve"> </w:t>
      </w:r>
      <w:proofErr w:type="spellStart"/>
      <w:r w:rsidRPr="00041C2C">
        <w:rPr>
          <w:rFonts w:cs="Calibri"/>
          <w:b/>
          <w:bCs/>
          <w:color w:val="8E0000"/>
          <w:sz w:val="28"/>
          <w:szCs w:val="28"/>
        </w:rPr>
        <w:t>kitea</w:t>
      </w:r>
      <w:proofErr w:type="spellEnd"/>
    </w:p>
    <w:p w14:paraId="433EFBB7" w14:textId="77777777" w:rsidR="00E830F5" w:rsidRPr="00E830F5" w:rsidRDefault="00E830F5" w:rsidP="00E830F5">
      <w:pPr>
        <w:widowControl w:val="0"/>
        <w:autoSpaceDE w:val="0"/>
        <w:autoSpaceDN w:val="0"/>
        <w:adjustRightInd w:val="0"/>
        <w:spacing w:after="240"/>
        <w:rPr>
          <w:rFonts w:ascii="Times" w:hAnsi="Times" w:cs="Times"/>
          <w:sz w:val="28"/>
          <w:szCs w:val="28"/>
        </w:rPr>
      </w:pPr>
      <w:r w:rsidRPr="00E830F5">
        <w:rPr>
          <w:rFonts w:cs="Calibri"/>
          <w:sz w:val="28"/>
          <w:szCs w:val="28"/>
        </w:rPr>
        <w:t xml:space="preserve">The </w:t>
      </w:r>
      <w:proofErr w:type="spellStart"/>
      <w:r w:rsidRPr="00E830F5">
        <w:rPr>
          <w:rFonts w:cs="Calibri"/>
          <w:sz w:val="28"/>
          <w:szCs w:val="28"/>
        </w:rPr>
        <w:t>whakatauki</w:t>
      </w:r>
      <w:proofErr w:type="spellEnd"/>
      <w:r w:rsidRPr="00E830F5">
        <w:rPr>
          <w:rFonts w:cs="Calibri"/>
          <w:sz w:val="28"/>
          <w:szCs w:val="28"/>
        </w:rPr>
        <w:t xml:space="preserve">̄, he </w:t>
      </w:r>
      <w:proofErr w:type="spellStart"/>
      <w:r w:rsidRPr="00E830F5">
        <w:rPr>
          <w:rFonts w:cs="Calibri"/>
          <w:sz w:val="28"/>
          <w:szCs w:val="28"/>
        </w:rPr>
        <w:t>kanohi</w:t>
      </w:r>
      <w:proofErr w:type="spellEnd"/>
      <w:r w:rsidRPr="00E830F5">
        <w:rPr>
          <w:rFonts w:cs="Calibri"/>
          <w:sz w:val="28"/>
          <w:szCs w:val="28"/>
        </w:rPr>
        <w:t xml:space="preserve"> </w:t>
      </w:r>
      <w:proofErr w:type="spellStart"/>
      <w:r w:rsidRPr="00E830F5">
        <w:rPr>
          <w:rFonts w:cs="Calibri"/>
          <w:sz w:val="28"/>
          <w:szCs w:val="28"/>
        </w:rPr>
        <w:t>kitea</w:t>
      </w:r>
      <w:proofErr w:type="spellEnd"/>
      <w:r w:rsidRPr="00E830F5">
        <w:rPr>
          <w:rFonts w:cs="Calibri"/>
          <w:sz w:val="28"/>
          <w:szCs w:val="28"/>
        </w:rPr>
        <w:t xml:space="preserve"> (the seen face), suggests the importance of being seen and known to the participants in their own cultural settings, rather than only in school settings.</w:t>
      </w:r>
    </w:p>
    <w:p w14:paraId="624B752B" w14:textId="77777777" w:rsidR="00E830F5" w:rsidRPr="00041C2C" w:rsidRDefault="00E830F5" w:rsidP="00E830F5">
      <w:pPr>
        <w:widowControl w:val="0"/>
        <w:autoSpaceDE w:val="0"/>
        <w:autoSpaceDN w:val="0"/>
        <w:adjustRightInd w:val="0"/>
        <w:spacing w:after="240"/>
        <w:rPr>
          <w:rFonts w:ascii="Times" w:hAnsi="Times" w:cs="Times"/>
          <w:color w:val="8E0000"/>
          <w:sz w:val="28"/>
          <w:szCs w:val="28"/>
        </w:rPr>
      </w:pPr>
      <w:proofErr w:type="spellStart"/>
      <w:r w:rsidRPr="00041C2C">
        <w:rPr>
          <w:rFonts w:cs="Calibri"/>
          <w:b/>
          <w:bCs/>
          <w:color w:val="8E0000"/>
          <w:sz w:val="28"/>
          <w:szCs w:val="28"/>
        </w:rPr>
        <w:t>Whakawhanaungatanga</w:t>
      </w:r>
      <w:proofErr w:type="spellEnd"/>
    </w:p>
    <w:p w14:paraId="03DADCB9" w14:textId="77777777" w:rsidR="00E830F5" w:rsidRPr="00E830F5" w:rsidRDefault="00E830F5" w:rsidP="00E830F5">
      <w:pPr>
        <w:widowControl w:val="0"/>
        <w:autoSpaceDE w:val="0"/>
        <w:autoSpaceDN w:val="0"/>
        <w:adjustRightInd w:val="0"/>
        <w:spacing w:after="240"/>
        <w:rPr>
          <w:rFonts w:ascii="Times" w:hAnsi="Times" w:cs="Times"/>
          <w:sz w:val="28"/>
          <w:szCs w:val="28"/>
        </w:rPr>
      </w:pPr>
      <w:proofErr w:type="spellStart"/>
      <w:r w:rsidRPr="00E830F5">
        <w:rPr>
          <w:rFonts w:cs="Calibri"/>
          <w:sz w:val="28"/>
          <w:szCs w:val="28"/>
        </w:rPr>
        <w:t>Whakawhanaungatanga</w:t>
      </w:r>
      <w:proofErr w:type="spellEnd"/>
      <w:r w:rsidRPr="00E830F5">
        <w:rPr>
          <w:rFonts w:cs="Calibri"/>
          <w:sz w:val="28"/>
          <w:szCs w:val="28"/>
        </w:rPr>
        <w:t xml:space="preserve"> is the process of establishing links, making connections and relating to the people one meets by identifying in culturally appropriate ways,</w:t>
      </w:r>
    </w:p>
    <w:p w14:paraId="7E526079" w14:textId="77777777" w:rsidR="00E830F5" w:rsidRPr="00E830F5" w:rsidRDefault="00E830F5" w:rsidP="00E830F5">
      <w:pPr>
        <w:widowControl w:val="0"/>
        <w:autoSpaceDE w:val="0"/>
        <w:autoSpaceDN w:val="0"/>
        <w:adjustRightInd w:val="0"/>
        <w:spacing w:after="240"/>
        <w:rPr>
          <w:rFonts w:ascii="Times" w:hAnsi="Times" w:cs="Times"/>
          <w:sz w:val="28"/>
          <w:szCs w:val="28"/>
        </w:rPr>
      </w:pPr>
      <w:r w:rsidRPr="00E830F5">
        <w:rPr>
          <w:rFonts w:cs="Calibri"/>
          <w:sz w:val="28"/>
          <w:szCs w:val="28"/>
        </w:rPr>
        <w:lastRenderedPageBreak/>
        <w:t xml:space="preserve">whakapapa linkages, past heritages, points of engagement, or other relationships. Establishing </w:t>
      </w:r>
      <w:proofErr w:type="spellStart"/>
      <w:r w:rsidRPr="00E830F5">
        <w:rPr>
          <w:rFonts w:cs="Calibri"/>
          <w:sz w:val="28"/>
          <w:szCs w:val="28"/>
        </w:rPr>
        <w:t>whānau</w:t>
      </w:r>
      <w:proofErr w:type="spellEnd"/>
      <w:r w:rsidRPr="00E830F5">
        <w:rPr>
          <w:rFonts w:cs="Calibri"/>
          <w:sz w:val="28"/>
          <w:szCs w:val="28"/>
        </w:rPr>
        <w:t xml:space="preserve"> connections is kinship in its widest sense. </w:t>
      </w:r>
      <w:proofErr w:type="spellStart"/>
      <w:r w:rsidRPr="00E830F5">
        <w:rPr>
          <w:rFonts w:cs="Calibri"/>
          <w:sz w:val="28"/>
          <w:szCs w:val="28"/>
        </w:rPr>
        <w:t>Whakawhanaungatanga</w:t>
      </w:r>
      <w:proofErr w:type="spellEnd"/>
      <w:r w:rsidRPr="00E830F5">
        <w:rPr>
          <w:rFonts w:cs="Calibri"/>
          <w:sz w:val="28"/>
          <w:szCs w:val="28"/>
        </w:rPr>
        <w:t xml:space="preserve"> reinforces the commitment that members of a </w:t>
      </w:r>
      <w:proofErr w:type="spellStart"/>
      <w:r w:rsidRPr="00E830F5">
        <w:rPr>
          <w:rFonts w:cs="Calibri"/>
          <w:sz w:val="28"/>
          <w:szCs w:val="28"/>
        </w:rPr>
        <w:t>whānau</w:t>
      </w:r>
      <w:proofErr w:type="spellEnd"/>
      <w:r w:rsidRPr="00E830F5">
        <w:rPr>
          <w:rFonts w:cs="Calibri"/>
          <w:sz w:val="28"/>
          <w:szCs w:val="28"/>
        </w:rPr>
        <w:t xml:space="preserve"> have to each other while also reminding them of their responsibilities and obligations to all (Berryman et al., 2002).</w:t>
      </w:r>
    </w:p>
    <w:p w14:paraId="394BF5CC" w14:textId="77777777" w:rsidR="00E830F5" w:rsidRPr="00E830F5" w:rsidRDefault="00E830F5" w:rsidP="00E830F5">
      <w:pPr>
        <w:widowControl w:val="0"/>
        <w:autoSpaceDE w:val="0"/>
        <w:autoSpaceDN w:val="0"/>
        <w:adjustRightInd w:val="0"/>
        <w:spacing w:after="240"/>
        <w:rPr>
          <w:rFonts w:ascii="Times" w:hAnsi="Times" w:cs="Times"/>
          <w:sz w:val="28"/>
          <w:szCs w:val="28"/>
        </w:rPr>
      </w:pPr>
      <w:r w:rsidRPr="00E830F5">
        <w:rPr>
          <w:rFonts w:cs="Calibri"/>
          <w:sz w:val="28"/>
          <w:szCs w:val="28"/>
        </w:rPr>
        <w:t xml:space="preserve">In a metaphoric sense, Mead (2003) asserts that </w:t>
      </w:r>
      <w:proofErr w:type="spellStart"/>
      <w:r w:rsidRPr="00E830F5">
        <w:rPr>
          <w:rFonts w:cs="Calibri"/>
          <w:sz w:val="28"/>
          <w:szCs w:val="28"/>
        </w:rPr>
        <w:t>whanaungatanga</w:t>
      </w:r>
      <w:proofErr w:type="spellEnd"/>
      <w:r w:rsidRPr="00E830F5">
        <w:rPr>
          <w:rFonts w:cs="Calibri"/>
          <w:sz w:val="28"/>
          <w:szCs w:val="28"/>
        </w:rPr>
        <w:t xml:space="preserve"> reaches beyond actual whakapapa relationships and includes relationships to people who are not kin but who, through shared experiences, feel </w:t>
      </w:r>
      <w:bookmarkStart w:id="0" w:name="_GoBack"/>
      <w:bookmarkEnd w:id="0"/>
      <w:r w:rsidRPr="00E830F5">
        <w:rPr>
          <w:rFonts w:cs="Calibri"/>
          <w:sz w:val="28"/>
          <w:szCs w:val="28"/>
        </w:rPr>
        <w:t xml:space="preserve">and act as kin. Within this type of metaphoric </w:t>
      </w:r>
      <w:proofErr w:type="spellStart"/>
      <w:r w:rsidRPr="00E830F5">
        <w:rPr>
          <w:rFonts w:cs="Calibri"/>
          <w:sz w:val="28"/>
          <w:szCs w:val="28"/>
        </w:rPr>
        <w:t>whānau</w:t>
      </w:r>
      <w:proofErr w:type="spellEnd"/>
      <w:r w:rsidRPr="00E830F5">
        <w:rPr>
          <w:rFonts w:cs="Calibri"/>
          <w:sz w:val="28"/>
          <w:szCs w:val="28"/>
        </w:rPr>
        <w:t xml:space="preserve"> relationship, while one may receive support from the collective, be it </w:t>
      </w:r>
      <w:proofErr w:type="spellStart"/>
      <w:r w:rsidRPr="00E830F5">
        <w:rPr>
          <w:rFonts w:cs="Calibri"/>
          <w:sz w:val="28"/>
          <w:szCs w:val="28"/>
        </w:rPr>
        <w:t>whānau</w:t>
      </w:r>
      <w:proofErr w:type="spellEnd"/>
      <w:r w:rsidRPr="00E830F5">
        <w:rPr>
          <w:rFonts w:cs="Calibri"/>
          <w:sz w:val="28"/>
          <w:szCs w:val="28"/>
        </w:rPr>
        <w:t xml:space="preserve"> or otherwise, there is a responsibility to contribute your support in return.</w:t>
      </w:r>
    </w:p>
    <w:p w14:paraId="3221660E" w14:textId="77777777" w:rsidR="00E830F5" w:rsidRPr="00041C2C" w:rsidRDefault="00E830F5" w:rsidP="00E830F5">
      <w:pPr>
        <w:widowControl w:val="0"/>
        <w:autoSpaceDE w:val="0"/>
        <w:autoSpaceDN w:val="0"/>
        <w:adjustRightInd w:val="0"/>
        <w:spacing w:after="240"/>
        <w:rPr>
          <w:rFonts w:ascii="Times" w:hAnsi="Times" w:cs="Times"/>
          <w:color w:val="8E0000"/>
          <w:sz w:val="28"/>
          <w:szCs w:val="28"/>
        </w:rPr>
      </w:pPr>
      <w:r w:rsidRPr="00041C2C">
        <w:rPr>
          <w:rFonts w:cs="Calibri"/>
          <w:b/>
          <w:bCs/>
          <w:color w:val="8E0000"/>
          <w:sz w:val="28"/>
          <w:szCs w:val="28"/>
        </w:rPr>
        <w:t>Koha</w:t>
      </w:r>
    </w:p>
    <w:p w14:paraId="465503D9" w14:textId="77777777" w:rsidR="00E830F5" w:rsidRPr="00E830F5" w:rsidRDefault="00E830F5" w:rsidP="00E830F5">
      <w:pPr>
        <w:widowControl w:val="0"/>
        <w:autoSpaceDE w:val="0"/>
        <w:autoSpaceDN w:val="0"/>
        <w:adjustRightInd w:val="0"/>
        <w:spacing w:after="240"/>
        <w:rPr>
          <w:rFonts w:ascii="Times" w:hAnsi="Times" w:cs="Times"/>
          <w:sz w:val="28"/>
          <w:szCs w:val="28"/>
        </w:rPr>
      </w:pPr>
      <w:r w:rsidRPr="00E830F5">
        <w:rPr>
          <w:rFonts w:cs="Calibri"/>
          <w:sz w:val="28"/>
          <w:szCs w:val="28"/>
        </w:rPr>
        <w:t xml:space="preserve">Koha is the cultural act of repaying obligation or contributing by gifting (koha). Traditionally koha came in the form of food and other resources, today koha are more likely to come in the form of money. While there is no obligation to provide koha, there is also no obligation to accept koha. Bishop (1996) identifies koha as an appropriate metaphor to describe the research relationship. It describes the offering of the research project as a </w:t>
      </w:r>
      <w:proofErr w:type="spellStart"/>
      <w:r w:rsidRPr="00E830F5">
        <w:rPr>
          <w:rFonts w:cs="Calibri"/>
          <w:sz w:val="28"/>
          <w:szCs w:val="28"/>
        </w:rPr>
        <w:t>maioha</w:t>
      </w:r>
      <w:proofErr w:type="spellEnd"/>
      <w:r w:rsidRPr="00E830F5">
        <w:rPr>
          <w:rFonts w:cs="Calibri"/>
          <w:sz w:val="28"/>
          <w:szCs w:val="28"/>
        </w:rPr>
        <w:t xml:space="preserve"> (gift) to the participant/s such that it is their choice to accept it or not. Cram (2001) suggests that if they decide to enter into the relationship then the relationship will be seen as ongoing with “no boundaries or time constraints” (p.43).</w:t>
      </w:r>
    </w:p>
    <w:p w14:paraId="468170BA" w14:textId="77777777" w:rsidR="00E830F5" w:rsidRPr="00041C2C" w:rsidRDefault="00E830F5" w:rsidP="00E830F5">
      <w:pPr>
        <w:widowControl w:val="0"/>
        <w:autoSpaceDE w:val="0"/>
        <w:autoSpaceDN w:val="0"/>
        <w:adjustRightInd w:val="0"/>
        <w:spacing w:after="240"/>
        <w:rPr>
          <w:rFonts w:ascii="Times" w:hAnsi="Times" w:cs="Times"/>
          <w:color w:val="8E0000"/>
          <w:sz w:val="28"/>
          <w:szCs w:val="28"/>
        </w:rPr>
      </w:pPr>
      <w:proofErr w:type="spellStart"/>
      <w:r w:rsidRPr="00041C2C">
        <w:rPr>
          <w:rFonts w:cs="Calibri"/>
          <w:b/>
          <w:bCs/>
          <w:color w:val="8E0000"/>
          <w:sz w:val="28"/>
          <w:szCs w:val="28"/>
        </w:rPr>
        <w:t>Mahi</w:t>
      </w:r>
      <w:proofErr w:type="spellEnd"/>
      <w:r w:rsidRPr="00041C2C">
        <w:rPr>
          <w:rFonts w:cs="Calibri"/>
          <w:b/>
          <w:bCs/>
          <w:color w:val="8E0000"/>
          <w:sz w:val="28"/>
          <w:szCs w:val="28"/>
        </w:rPr>
        <w:t xml:space="preserve"> </w:t>
      </w:r>
      <w:proofErr w:type="spellStart"/>
      <w:r w:rsidRPr="00041C2C">
        <w:rPr>
          <w:rFonts w:cs="Calibri"/>
          <w:b/>
          <w:bCs/>
          <w:color w:val="8E0000"/>
          <w:sz w:val="28"/>
          <w:szCs w:val="28"/>
        </w:rPr>
        <w:t>tahi</w:t>
      </w:r>
      <w:proofErr w:type="spellEnd"/>
    </w:p>
    <w:p w14:paraId="6ECE61B0" w14:textId="77777777" w:rsidR="00E830F5" w:rsidRPr="00E830F5" w:rsidRDefault="00E830F5" w:rsidP="00E830F5">
      <w:pPr>
        <w:widowControl w:val="0"/>
        <w:autoSpaceDE w:val="0"/>
        <w:autoSpaceDN w:val="0"/>
        <w:adjustRightInd w:val="0"/>
        <w:spacing w:after="240"/>
        <w:rPr>
          <w:rFonts w:ascii="Times" w:hAnsi="Times" w:cs="Times"/>
          <w:sz w:val="28"/>
          <w:szCs w:val="28"/>
        </w:rPr>
      </w:pPr>
      <w:proofErr w:type="spellStart"/>
      <w:r w:rsidRPr="00E830F5">
        <w:rPr>
          <w:rFonts w:cs="Calibri"/>
          <w:sz w:val="28"/>
          <w:szCs w:val="28"/>
        </w:rPr>
        <w:t>Mahi</w:t>
      </w:r>
      <w:proofErr w:type="spellEnd"/>
      <w:r w:rsidRPr="00E830F5">
        <w:rPr>
          <w:rFonts w:cs="Calibri"/>
          <w:sz w:val="28"/>
          <w:szCs w:val="28"/>
        </w:rPr>
        <w:t xml:space="preserve"> </w:t>
      </w:r>
      <w:proofErr w:type="spellStart"/>
      <w:r w:rsidRPr="00E830F5">
        <w:rPr>
          <w:rFonts w:cs="Calibri"/>
          <w:sz w:val="28"/>
          <w:szCs w:val="28"/>
        </w:rPr>
        <w:t>tahi</w:t>
      </w:r>
      <w:proofErr w:type="spellEnd"/>
      <w:r w:rsidRPr="00E830F5">
        <w:rPr>
          <w:rFonts w:cs="Calibri"/>
          <w:sz w:val="28"/>
          <w:szCs w:val="28"/>
        </w:rPr>
        <w:t xml:space="preserve"> is a term used to describe the unity of people working towards a specific goal or the implementation of a task often in a ‘hands-on’ fashion. Whereas </w:t>
      </w:r>
      <w:proofErr w:type="spellStart"/>
      <w:r w:rsidRPr="00E830F5">
        <w:rPr>
          <w:rFonts w:cs="Calibri"/>
          <w:sz w:val="28"/>
          <w:szCs w:val="28"/>
        </w:rPr>
        <w:t>kotahitanga</w:t>
      </w:r>
      <w:proofErr w:type="spellEnd"/>
      <w:r w:rsidRPr="00E830F5">
        <w:rPr>
          <w:rFonts w:cs="Calibri"/>
          <w:sz w:val="28"/>
          <w:szCs w:val="28"/>
        </w:rPr>
        <w:t xml:space="preserve"> is the state of being united, </w:t>
      </w:r>
      <w:proofErr w:type="spellStart"/>
      <w:r w:rsidRPr="00E830F5">
        <w:rPr>
          <w:rFonts w:cs="Calibri"/>
          <w:sz w:val="28"/>
          <w:szCs w:val="28"/>
        </w:rPr>
        <w:t>mahi</w:t>
      </w:r>
      <w:proofErr w:type="spellEnd"/>
      <w:r w:rsidRPr="00E830F5">
        <w:rPr>
          <w:rFonts w:cs="Calibri"/>
          <w:sz w:val="28"/>
          <w:szCs w:val="28"/>
        </w:rPr>
        <w:t xml:space="preserve"> </w:t>
      </w:r>
      <w:proofErr w:type="spellStart"/>
      <w:r w:rsidRPr="00E830F5">
        <w:rPr>
          <w:rFonts w:cs="Calibri"/>
          <w:sz w:val="28"/>
          <w:szCs w:val="28"/>
        </w:rPr>
        <w:t>tahi</w:t>
      </w:r>
      <w:proofErr w:type="spellEnd"/>
      <w:r w:rsidRPr="00E830F5">
        <w:rPr>
          <w:rFonts w:cs="Calibri"/>
          <w:sz w:val="28"/>
          <w:szCs w:val="28"/>
        </w:rPr>
        <w:t xml:space="preserve"> is the act of carrying out the task or activity for which you have come together in a common purpose. The solidarity that </w:t>
      </w:r>
      <w:proofErr w:type="spellStart"/>
      <w:r w:rsidRPr="00E830F5">
        <w:rPr>
          <w:rFonts w:cs="Calibri"/>
          <w:sz w:val="28"/>
          <w:szCs w:val="28"/>
        </w:rPr>
        <w:t>mahi</w:t>
      </w:r>
      <w:proofErr w:type="spellEnd"/>
      <w:r w:rsidRPr="00E830F5">
        <w:rPr>
          <w:rFonts w:cs="Calibri"/>
          <w:sz w:val="28"/>
          <w:szCs w:val="28"/>
        </w:rPr>
        <w:t xml:space="preserve"> </w:t>
      </w:r>
      <w:proofErr w:type="spellStart"/>
      <w:r w:rsidRPr="00E830F5">
        <w:rPr>
          <w:rFonts w:cs="Calibri"/>
          <w:sz w:val="28"/>
          <w:szCs w:val="28"/>
        </w:rPr>
        <w:t>tahi</w:t>
      </w:r>
      <w:proofErr w:type="spellEnd"/>
      <w:r w:rsidRPr="00E830F5">
        <w:rPr>
          <w:rFonts w:cs="Calibri"/>
          <w:sz w:val="28"/>
          <w:szCs w:val="28"/>
        </w:rPr>
        <w:t xml:space="preserve"> engenders in a group of people is powerful and this kind of relationship is known to sustain itself well after the goal has been fulfilled or the project has been completed (Berryman et al., 2002). The philosophy of </w:t>
      </w:r>
      <w:proofErr w:type="spellStart"/>
      <w:r w:rsidRPr="00E830F5">
        <w:rPr>
          <w:rFonts w:cs="Calibri"/>
          <w:sz w:val="28"/>
          <w:szCs w:val="28"/>
        </w:rPr>
        <w:t>mahi</w:t>
      </w:r>
      <w:proofErr w:type="spellEnd"/>
      <w:r w:rsidRPr="00E830F5">
        <w:rPr>
          <w:rFonts w:cs="Calibri"/>
          <w:sz w:val="28"/>
          <w:szCs w:val="28"/>
        </w:rPr>
        <w:t xml:space="preserve"> </w:t>
      </w:r>
      <w:proofErr w:type="spellStart"/>
      <w:r w:rsidRPr="00E830F5">
        <w:rPr>
          <w:rFonts w:cs="Calibri"/>
          <w:sz w:val="28"/>
          <w:szCs w:val="28"/>
        </w:rPr>
        <w:t>tahi</w:t>
      </w:r>
      <w:proofErr w:type="spellEnd"/>
      <w:r w:rsidRPr="00E830F5">
        <w:rPr>
          <w:rFonts w:cs="Calibri"/>
          <w:sz w:val="28"/>
          <w:szCs w:val="28"/>
        </w:rPr>
        <w:t xml:space="preserve"> comes from traditional times. Working together was vital for activities such as construction, food production, child rearing and warfare.</w:t>
      </w:r>
    </w:p>
    <w:p w14:paraId="7E86A022" w14:textId="77777777" w:rsidR="00E830F5" w:rsidRPr="00041C2C" w:rsidRDefault="00E830F5" w:rsidP="00E830F5">
      <w:pPr>
        <w:widowControl w:val="0"/>
        <w:autoSpaceDE w:val="0"/>
        <w:autoSpaceDN w:val="0"/>
        <w:adjustRightInd w:val="0"/>
        <w:spacing w:after="240"/>
        <w:rPr>
          <w:rFonts w:ascii="Times" w:hAnsi="Times" w:cs="Times"/>
          <w:color w:val="8E0000"/>
          <w:sz w:val="28"/>
          <w:szCs w:val="28"/>
        </w:rPr>
      </w:pPr>
      <w:r w:rsidRPr="00041C2C">
        <w:rPr>
          <w:rFonts w:cs="Calibri"/>
          <w:b/>
          <w:bCs/>
          <w:color w:val="8E0000"/>
          <w:sz w:val="28"/>
          <w:szCs w:val="28"/>
        </w:rPr>
        <w:t>Kotahitanga</w:t>
      </w:r>
    </w:p>
    <w:p w14:paraId="0DBA3AA8" w14:textId="77777777" w:rsidR="00E830F5" w:rsidRPr="00E830F5" w:rsidRDefault="00E830F5" w:rsidP="00E830F5">
      <w:pPr>
        <w:widowControl w:val="0"/>
        <w:autoSpaceDE w:val="0"/>
        <w:autoSpaceDN w:val="0"/>
        <w:adjustRightInd w:val="0"/>
        <w:spacing w:after="240"/>
        <w:rPr>
          <w:rFonts w:ascii="Times" w:hAnsi="Times" w:cs="Times"/>
          <w:sz w:val="28"/>
          <w:szCs w:val="28"/>
        </w:rPr>
      </w:pPr>
      <w:r w:rsidRPr="00E830F5">
        <w:rPr>
          <w:rFonts w:cs="Calibri"/>
          <w:sz w:val="28"/>
          <w:szCs w:val="28"/>
        </w:rPr>
        <w:t>As a collective, any group has the potential to pursue their own goals. Each individual has a role to play, each person works towards achieving the common goal, thus when all individuals unite under the same objective it is more likely to be attainable.</w:t>
      </w:r>
    </w:p>
    <w:p w14:paraId="1D0CBA1C" w14:textId="77777777" w:rsidR="001749AC" w:rsidRPr="00E830F5" w:rsidRDefault="001749AC" w:rsidP="00E57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Georgia" w:hAnsi="Georgia" w:cs="Georgia"/>
          <w:b/>
          <w:bCs/>
          <w:color w:val="990033"/>
          <w:spacing w:val="6"/>
          <w:kern w:val="1"/>
        </w:rPr>
      </w:pPr>
    </w:p>
    <w:sectPr w:rsidR="001749AC" w:rsidRPr="00E830F5" w:rsidSect="00E830F5">
      <w:footerReference w:type="default" r:id="rId7"/>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D88D2" w14:textId="77777777" w:rsidR="00B01ABC" w:rsidRDefault="00B01ABC" w:rsidP="00B01ABC">
      <w:pPr>
        <w:spacing w:line="240" w:lineRule="auto"/>
      </w:pPr>
      <w:r>
        <w:separator/>
      </w:r>
    </w:p>
  </w:endnote>
  <w:endnote w:type="continuationSeparator" w:id="0">
    <w:p w14:paraId="5D3FC1EA" w14:textId="77777777" w:rsidR="00B01ABC" w:rsidRDefault="00B01ABC" w:rsidP="00B01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947A1" w14:textId="3AF4A488" w:rsidR="00B01ABC" w:rsidRPr="00B01ABC" w:rsidRDefault="00B01ABC">
    <w:pPr>
      <w:pStyle w:val="Footer"/>
      <w:rPr>
        <w:rFonts w:asciiTheme="majorHAnsi" w:hAnsiTheme="majorHAnsi"/>
        <w:sz w:val="16"/>
        <w:szCs w:val="16"/>
        <w:lang w:val="en-NZ"/>
      </w:rPr>
    </w:pPr>
    <w:r w:rsidRPr="00B01ABC">
      <w:rPr>
        <w:rFonts w:asciiTheme="majorHAnsi" w:hAnsiTheme="majorHAnsi"/>
        <w:sz w:val="16"/>
        <w:szCs w:val="16"/>
        <w:lang w:val="en-NZ"/>
      </w:rPr>
      <w:t xml:space="preserve">Module 8. Resource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1D1AE" w14:textId="77777777" w:rsidR="00B01ABC" w:rsidRDefault="00B01ABC" w:rsidP="00B01ABC">
      <w:pPr>
        <w:spacing w:line="240" w:lineRule="auto"/>
      </w:pPr>
      <w:r>
        <w:separator/>
      </w:r>
    </w:p>
  </w:footnote>
  <w:footnote w:type="continuationSeparator" w:id="0">
    <w:p w14:paraId="01A74A56" w14:textId="77777777" w:rsidR="00B01ABC" w:rsidRDefault="00B01ABC" w:rsidP="00B01A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7164"/>
    <w:multiLevelType w:val="hybridMultilevel"/>
    <w:tmpl w:val="DF9C1AD6"/>
    <w:lvl w:ilvl="0" w:tplc="AAB0A502">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22137D7F"/>
    <w:multiLevelType w:val="hybridMultilevel"/>
    <w:tmpl w:val="B344B9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83E7E"/>
    <w:multiLevelType w:val="hybridMultilevel"/>
    <w:tmpl w:val="9BF224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0"/>
    <w:rsid w:val="00007932"/>
    <w:rsid w:val="00041C2C"/>
    <w:rsid w:val="00154A32"/>
    <w:rsid w:val="001749AC"/>
    <w:rsid w:val="002036B7"/>
    <w:rsid w:val="00321A69"/>
    <w:rsid w:val="00366D29"/>
    <w:rsid w:val="004517E9"/>
    <w:rsid w:val="0049644C"/>
    <w:rsid w:val="004F1E6A"/>
    <w:rsid w:val="00510260"/>
    <w:rsid w:val="0080677B"/>
    <w:rsid w:val="009C2578"/>
    <w:rsid w:val="00B01ABC"/>
    <w:rsid w:val="00D47A26"/>
    <w:rsid w:val="00D94B9A"/>
    <w:rsid w:val="00E5787C"/>
    <w:rsid w:val="00E830F5"/>
    <w:rsid w:val="00E94EBA"/>
    <w:rsid w:val="00F5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380E"/>
  <w14:defaultImageDpi w14:val="300"/>
  <w15:docId w15:val="{793865D4-4493-42D4-9AA5-10E4EE21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2C"/>
    <w:pPr>
      <w:spacing w:line="276" w:lineRule="auto"/>
    </w:pPr>
    <w:rPr>
      <w:rFonts w:ascii="Calibri" w:hAnsi="Calibri"/>
      <w:sz w:val="22"/>
    </w:rPr>
  </w:style>
  <w:style w:type="paragraph" w:styleId="Heading1">
    <w:name w:val="heading 1"/>
    <w:basedOn w:val="Normal"/>
    <w:next w:val="Normal"/>
    <w:link w:val="Heading1Char"/>
    <w:uiPriority w:val="9"/>
    <w:qFormat/>
    <w:rsid w:val="00041C2C"/>
    <w:pPr>
      <w:keepNext/>
      <w:keepLines/>
      <w:spacing w:before="240" w:after="12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AC"/>
    <w:rPr>
      <w:sz w:val="22"/>
      <w:szCs w:val="22"/>
      <w:lang w:val="en-N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7E9"/>
    <w:pPr>
      <w:ind w:left="720"/>
      <w:contextualSpacing/>
    </w:pPr>
  </w:style>
  <w:style w:type="paragraph" w:styleId="Header">
    <w:name w:val="header"/>
    <w:basedOn w:val="Normal"/>
    <w:link w:val="HeaderChar"/>
    <w:uiPriority w:val="99"/>
    <w:unhideWhenUsed/>
    <w:rsid w:val="00B01ABC"/>
    <w:pPr>
      <w:tabs>
        <w:tab w:val="center" w:pos="4513"/>
        <w:tab w:val="right" w:pos="9026"/>
      </w:tabs>
    </w:pPr>
  </w:style>
  <w:style w:type="character" w:customStyle="1" w:styleId="HeaderChar">
    <w:name w:val="Header Char"/>
    <w:basedOn w:val="DefaultParagraphFont"/>
    <w:link w:val="Header"/>
    <w:uiPriority w:val="99"/>
    <w:rsid w:val="00B01ABC"/>
  </w:style>
  <w:style w:type="paragraph" w:styleId="Footer">
    <w:name w:val="footer"/>
    <w:basedOn w:val="Normal"/>
    <w:link w:val="FooterChar"/>
    <w:uiPriority w:val="99"/>
    <w:unhideWhenUsed/>
    <w:rsid w:val="00B01ABC"/>
    <w:pPr>
      <w:tabs>
        <w:tab w:val="center" w:pos="4513"/>
        <w:tab w:val="right" w:pos="9026"/>
      </w:tabs>
    </w:pPr>
  </w:style>
  <w:style w:type="character" w:customStyle="1" w:styleId="FooterChar">
    <w:name w:val="Footer Char"/>
    <w:basedOn w:val="DefaultParagraphFont"/>
    <w:link w:val="Footer"/>
    <w:uiPriority w:val="99"/>
    <w:rsid w:val="00B01ABC"/>
  </w:style>
  <w:style w:type="character" w:customStyle="1" w:styleId="Heading1Char">
    <w:name w:val="Heading 1 Char"/>
    <w:basedOn w:val="DefaultParagraphFont"/>
    <w:link w:val="Heading1"/>
    <w:uiPriority w:val="9"/>
    <w:rsid w:val="00041C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DLB</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Barton</dc:creator>
  <cp:keywords/>
  <dc:description/>
  <cp:lastModifiedBy>Jill Wilson</cp:lastModifiedBy>
  <cp:revision>2</cp:revision>
  <dcterms:created xsi:type="dcterms:W3CDTF">2014-06-03T08:24:00Z</dcterms:created>
  <dcterms:modified xsi:type="dcterms:W3CDTF">2014-06-03T08:24:00Z</dcterms:modified>
</cp:coreProperties>
</file>